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705dd01b8047eb"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37700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SVETI KRIŽ ZAČRETJE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1.841.219,89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1.913.628,84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1.090.688,82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1.439.407,46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750.531,07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474.221,38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63,2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447.224,65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286.139,47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447.224,65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286.139,47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27.647,12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27.647,12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27.647,12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27.647,12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275.659,30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160.434,79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58,2</w:t>
            </w:r>
          </w:p>
        </w:tc>
      </w:tr>
    </w:tbl>
    <w:p>
      <w:pPr>
        <w:spacing w:before="0" w:after="0"/>
      </w:pPr>
    </w:p>
    <w:p>
      <w:pPr>
        <w:jc w:val="both"/>
        <w:pStyle w:val="Normal"/>
        <w:spacing w:line="240" w:lineRule="auto"/>
      </w:pPr>
      <w:r>
        <w:rPr>
          <w:sz w:val="24"/>
          <w:rFonts w:ascii="Times New Roman" w:hAnsi="Times New Roman"/>
        </w:rPr>
        <w:t>Obrazac PR-RAS sadrži sve naplaćene prihode i izvršene rashode od 01.01. do 30.06.2025. godine. Ukupni prihodi su ostvareni u iznosu od 1.913.628,84 €, a rashodi u iznosu od 1.753.194,05 €. Razlika između prihoda i rashoda (VIŠAK) iznosi 160.434,79 €. Zajedno s prenesenim viškom prethodnih godina ukupni višak prihoda raspoloživ u sljedećem razdoblju iznosi 1.002.900,78 €.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dohodak utvrđen u postupku nadzora za prethodne godine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2.441,26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Za razliku od istog izvještajnog razdoblja prethodne godine ove godine ne bilježimo evidentirana sredstva po osnovi poreza na dohodak utvrđen u postupku nadzora za prethodne godine.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Stalni porezi na nepokretnu imovinu (zemlju, zgrade, kuće i ostalo)</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8.601,49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1.178,57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w:t>
            </w:r>
          </w:p>
        </w:tc>
      </w:tr>
    </w:tbl>
    <w:p>
      <w:pPr>
        <w:spacing w:before="0" w:after="0"/>
      </w:pPr>
    </w:p>
    <w:p>
      <w:pPr>
        <w:jc w:val="both"/>
        <w:pStyle w:val="Normal"/>
        <w:spacing w:line="240" w:lineRule="auto"/>
      </w:pPr>
      <w:r>
        <w:rPr>
          <w:sz w:val="24"/>
          <w:rFonts w:ascii="Times New Roman" w:hAnsi="Times New Roman"/>
        </w:rPr>
        <w:t>Budući da je od ove godine ukinut porez na kuće za odmor, koji čini dio stalnih poreza na nepokretnu imovinu, odnosno da se isti mijenja kroz uvođenje poreza na promet nekretnina, na predmetnom računu bilježimo znatno manje ostvarenje. Oporezivanje porezom na promet nekretnina provest će se u drugoj polovici godine.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259.749,76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48.738,00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18,8</w:t>
            </w:r>
          </w:p>
        </w:tc>
      </w:tr>
    </w:tbl>
    <w:p>
      <w:pPr>
        <w:spacing w:before="0" w:after="0"/>
      </w:pPr>
    </w:p>
    <w:p>
      <w:pPr>
        <w:jc w:val="both"/>
        <w:pStyle w:val="Normal"/>
        <w:spacing w:line="240" w:lineRule="auto"/>
      </w:pPr>
      <w:r>
        <w:rPr>
          <w:sz w:val="24"/>
          <w:rFonts w:ascii="Times New Roman" w:hAnsi="Times New Roman"/>
        </w:rPr>
        <w:t>Evidentirana su značajno manja sredstva tekućih pomoći proračunu iz drugih proračuna kao razlog drugačijeg evidentiranja sredstva fiskalnog izravnanja koja su za razliku od prethodnog izvještajnog razdoblja evidentirana baš na računu predviđenom za evidentiranje sredstava fiskalnog izravnanja, dok su prethodne godine ista evidentirana na predmetnome kontu.</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49.874,58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Za razliku od prošle godine, u istom promatranom razdoblju, gdje nije bilo evidentirano kapitalnih pomoći proračunu iz drugih proračuna, ove godine bilježimo ostvarenje sredstava iz državnog proračuna, a koja se odnose na izgradnju i uređenje igrališta u naselju Sekirišće.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fiskalnog izravnanja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242.780,22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Kao što je prethodno spomenuto, zbog različitog načina evidentiranja sredstava fiskalnog izravnanja bilježimo ostvarenje na navedenome računu, dok u prošlom razdoblju nema evidentiranih sredstava po navedenome računu.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138.428,75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Prošle godine evidentirana su značajna sredstva iz Fondova solidarnosti EU koja su se odnosila na obnovu od elementarne nepogode potresa. Navedena sredstva namjenski su utrošena na projekte sanacije štete od potresa. U promatranom izvještajnom razdoblju ne bilježimo sredstva kapitalnih pomoći temeljem prijenosa EU sredstava.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22,1</w:t>
            </w:r>
          </w:p>
        </w:tc>
      </w:tr>
    </w:tbl>
    <w:p>
      <w:pPr>
        <w:spacing w:before="0" w:after="0"/>
      </w:pPr>
    </w:p>
    <w:p>
      <w:pPr>
        <w:jc w:val="both"/>
        <w:pStyle w:val="Normal"/>
        <w:spacing w:line="240" w:lineRule="auto"/>
      </w:pPr>
      <w:r>
        <w:rPr>
          <w:sz w:val="24"/>
          <w:rFonts w:ascii="Times New Roman" w:hAnsi="Times New Roman"/>
        </w:rPr>
        <w:t>Odnosi se na sredstva turističke pristojbe koja su iz nekog razloga, vjerojatno slabijeg posjeta turista i noćenja, nešto manja u odnosu na isto razdoblje prethodne godine.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Komunalni doprinosi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1.302,19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4.442,58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341,2</w:t>
            </w:r>
          </w:p>
        </w:tc>
      </w:tr>
    </w:tbl>
    <w:p>
      <w:pPr>
        <w:spacing w:before="0" w:after="0"/>
      </w:pPr>
    </w:p>
    <w:p>
      <w:pPr>
        <w:jc w:val="both"/>
        <w:pStyle w:val="Normal"/>
        <w:spacing w:line="240" w:lineRule="auto"/>
      </w:pPr>
      <w:r>
        <w:rPr>
          <w:sz w:val="24"/>
          <w:rFonts w:ascii="Times New Roman" w:hAnsi="Times New Roman"/>
        </w:rPr>
        <w:t>Sredstva komunalnog doprinosa značajnija su u odnosu na isto razdoblje prethodne godine, što veseli svakako zbog činjenice za povećanom izgradnjom kako stambenih objekata, odnosno doseljavanja mladih obitelji, tako i izgradnjom poslovnih objekata u zoni malog gospodarstva, koja će svakako otvoriti nova radna mjesta te samim time potaknuti još veći interes novih i mladih obitelji za doseljavanje u našu lokalnu zajednicu.</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154.005,81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118.547,24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77,0</w:t>
            </w:r>
          </w:p>
        </w:tc>
      </w:tr>
    </w:tbl>
    <w:p>
      <w:pPr>
        <w:spacing w:before="0" w:after="0"/>
      </w:pPr>
    </w:p>
    <w:p>
      <w:pPr>
        <w:jc w:val="both"/>
        <w:pStyle w:val="Normal"/>
        <w:spacing w:line="240" w:lineRule="auto"/>
      </w:pPr>
      <w:r>
        <w:rPr>
          <w:sz w:val="24"/>
          <w:rFonts w:ascii="Times New Roman" w:hAnsi="Times New Roman"/>
        </w:rPr>
        <w:t>Odnosi se na komunalne i grobne naknade, koje su evidentirane u manjem iznosu u odnosu na prethodno izvještajno razdoblje što zbog činjenice da su obveznici neredovito izvršavali svoje obveze, no više zbog činjenice da je dospijeće za grobnu naknadu u drugoj polovici godine, točnije u mjesecu srpnju.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12.180,53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4.230,01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34,7</w:t>
            </w:r>
          </w:p>
        </w:tc>
      </w:tr>
    </w:tbl>
    <w:p>
      <w:pPr>
        <w:spacing w:before="0" w:after="0"/>
      </w:pPr>
    </w:p>
    <w:p>
      <w:pPr>
        <w:jc w:val="both"/>
        <w:pStyle w:val="Normal"/>
        <w:spacing w:line="240" w:lineRule="auto"/>
      </w:pPr>
      <w:r>
        <w:rPr>
          <w:sz w:val="24"/>
          <w:rFonts w:ascii="Times New Roman" w:hAnsi="Times New Roman"/>
        </w:rPr>
        <w:t>Od ove godine više nije potpisan sporazum s tvrtkom Eko-Flor plus d.o.o. kojom su nam oni bili dužni nadoknaditi troškove odlagališta otpada u Općini Jesenje i Koprivnički Ivanec. Navedene troškove Općina mora snositi samostalno, te stoga bilježimo značajno manje ostvarenje sredstava tekućih donacija.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265,70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355,1</w:t>
            </w:r>
          </w:p>
        </w:tc>
      </w:tr>
    </w:tbl>
    <w:p>
      <w:pPr>
        <w:spacing w:before="0" w:after="0"/>
      </w:pPr>
    </w:p>
    <w:p>
      <w:pPr>
        <w:jc w:val="both"/>
        <w:pStyle w:val="Normal"/>
        <w:spacing w:line="240" w:lineRule="auto"/>
      </w:pPr>
      <w:r>
        <w:rPr>
          <w:sz w:val="24"/>
          <w:rFonts w:ascii="Times New Roman" w:hAnsi="Times New Roman"/>
        </w:rPr>
        <w:t>Sredstva službenih putovanja veća su u odnosu na prethodno izvještajno razdoblje zbog dva poslovna puta načelnika u inozemstvo.</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dijelovi za tekuće i investicijsko održavanje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1.597,74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4.037,39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252,7</w:t>
            </w:r>
          </w:p>
        </w:tc>
      </w:tr>
    </w:tbl>
    <w:p>
      <w:pPr>
        <w:spacing w:before="0" w:after="0"/>
      </w:pPr>
    </w:p>
    <w:p>
      <w:pPr>
        <w:jc w:val="both"/>
        <w:pStyle w:val="Normal"/>
        <w:spacing w:line="240" w:lineRule="auto"/>
      </w:pPr>
      <w:r>
        <w:rPr>
          <w:sz w:val="24"/>
          <w:rFonts w:ascii="Times New Roman" w:hAnsi="Times New Roman"/>
        </w:rPr>
        <w:t>Obzirom na pojačanu potrebu za održavanjem nerazvrstanih cesta, sustava odvodnje i nogostupa nabavljen je veći broj materijala za potrebe istog, kao što su primjerice odvodne cijevi, šahtovi, poklopci, rubnjaci, armaturne mreže i sl.</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1.642,57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17.101,96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1041,2</w:t>
            </w:r>
          </w:p>
        </w:tc>
      </w:tr>
    </w:tbl>
    <w:p>
      <w:pPr>
        <w:spacing w:before="0" w:after="0"/>
      </w:pPr>
    </w:p>
    <w:p>
      <w:pPr>
        <w:jc w:val="both"/>
        <w:pStyle w:val="Normal"/>
        <w:spacing w:line="240" w:lineRule="auto"/>
      </w:pPr>
      <w:r>
        <w:rPr>
          <w:sz w:val="24"/>
          <w:rFonts w:ascii="Times New Roman" w:hAnsi="Times New Roman"/>
        </w:rPr>
        <w:t>Kako su ove godine ranije potpisani ugovori s pružateljima usluga oglašavanja, medija i sl., te su na temelju istog računi za navedene usluge pristigli ranije, te činjenicu da bilježimo veći broj pružatelja navedenih usluga te uz opći porast cijena pružanja istih, bilježimo značajnije ostvarenje po predmetnome računu u odnosu na prethodno izvještajno razdoblje. Također je bitno za spomenuti da je rast u odnosu na prethodnu godinu također rezultat više oglasa za zapošljavanje, te natječaja odnosno javne nabave. </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3.101,54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15.513,38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500,2</w:t>
            </w:r>
          </w:p>
        </w:tc>
      </w:tr>
    </w:tbl>
    <w:p>
      <w:pPr>
        <w:spacing w:before="0" w:after="0"/>
      </w:pPr>
    </w:p>
    <w:p>
      <w:pPr>
        <w:jc w:val="both"/>
        <w:pStyle w:val="Normal"/>
        <w:spacing w:line="240" w:lineRule="auto"/>
      </w:pPr>
      <w:r>
        <w:rPr>
          <w:sz w:val="24"/>
          <w:rFonts w:ascii="Times New Roman" w:hAnsi="Times New Roman"/>
        </w:rPr>
        <w:t>Prethodne godine dugo nije bio sklopljen ugovor s postojećim pružateljem računalnih usluga, stoga su i računi pristigli na naplatu tek u drugoj polovici godine. Shodno navedenome, ove godine, kad već postoji važeći sklopljeni ugovor i uz određeni rast cijena po spomenutom ugovoru, bilježimo značajno veća sredstva u odnosu na prethodno izvještajno razdoblje.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40.932,70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24.534,76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59,9</w:t>
            </w:r>
          </w:p>
        </w:tc>
      </w:tr>
    </w:tbl>
    <w:p>
      <w:pPr>
        <w:spacing w:before="0" w:after="0"/>
      </w:pPr>
    </w:p>
    <w:p>
      <w:pPr>
        <w:jc w:val="both"/>
        <w:pStyle w:val="Normal"/>
        <w:spacing w:line="240" w:lineRule="auto"/>
      </w:pPr>
      <w:r>
        <w:rPr>
          <w:sz w:val="24"/>
          <w:rFonts w:ascii="Times New Roman" w:hAnsi="Times New Roman"/>
        </w:rPr>
        <w:t>Obzirom na korištenje ostalih usluga, kao što su izrada projektne dokumentacije, studije izvodljivosti i sl. za zgradu društvenog doma u Ciglenici Zagorskoj za prijavu na određeni javni poziv energetske obnove, te ostalih popratnih usluga po predmetnom računu koja bilježe rast u odnosu na prethodno izvještajno razdoblje bilježimo značajnije ostvarenje u odnosu na prethodnu godinu.</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Premije osiguranja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4.993,26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1.723,20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34,5</w:t>
            </w:r>
          </w:p>
        </w:tc>
      </w:tr>
    </w:tbl>
    <w:p>
      <w:pPr>
        <w:spacing w:before="0" w:after="0"/>
      </w:pPr>
    </w:p>
    <w:p>
      <w:pPr>
        <w:jc w:val="both"/>
        <w:pStyle w:val="Normal"/>
        <w:spacing w:line="240" w:lineRule="auto"/>
      </w:pPr>
      <w:r>
        <w:rPr>
          <w:sz w:val="24"/>
          <w:rFonts w:ascii="Times New Roman" w:hAnsi="Times New Roman"/>
        </w:rPr>
        <w:t>Kako ove godine još nije sklopljen ugovor, odnosno obnovljena polica osiguranja zaposlenih i imovine, uz napomenu da važeća još nije istekla, bilježimo znatno manja sredstva ostvarenja po navedenom računu. Odabir osiguravatelja u ovom trenutku je upravo u finalnoj fazi.</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Reprezentacija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1.287,02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2.871,65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223,1</w:t>
            </w:r>
          </w:p>
        </w:tc>
      </w:tr>
    </w:tbl>
    <w:p>
      <w:pPr>
        <w:spacing w:before="0" w:after="0"/>
      </w:pPr>
    </w:p>
    <w:p>
      <w:pPr>
        <w:jc w:val="both"/>
        <w:pStyle w:val="Normal"/>
        <w:spacing w:line="240" w:lineRule="auto"/>
      </w:pPr>
      <w:r>
        <w:rPr>
          <w:sz w:val="24"/>
          <w:rFonts w:ascii="Times New Roman" w:hAnsi="Times New Roman"/>
        </w:rPr>
        <w:t>Uzevši u obzir porast cijena, te veći broj prigoda bilježimo veće ostvarenje po osnovi troškova reprezentacije.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Sukladno uputama, odo ove godine sredstva rtv pristojbe evidentiraju se na za to predviđen račun, te stoga bilježimo ostvarenje po predmetnome računu što nije bio slučaj prošle godine.</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35.433,55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81.584,78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230,2</w:t>
            </w:r>
          </w:p>
        </w:tc>
      </w:tr>
    </w:tbl>
    <w:p>
      <w:pPr>
        <w:spacing w:before="0" w:after="0"/>
      </w:pPr>
    </w:p>
    <w:p>
      <w:pPr>
        <w:jc w:val="both"/>
        <w:pStyle w:val="Normal"/>
        <w:spacing w:line="240" w:lineRule="auto"/>
      </w:pPr>
      <w:r>
        <w:rPr>
          <w:sz w:val="24"/>
          <w:rFonts w:ascii="Times New Roman" w:hAnsi="Times New Roman"/>
        </w:rPr>
        <w:t>Značajno veća sredstva u odnosu na prethodno izvještajno razdoblje rezultat su organiziranja sajma stoke gdje su kroz program, odnosno aktivnost izdataka za turističke manifestacije utrošena značajna sredstva. </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41.685,35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90.037,34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216,0</w:t>
            </w:r>
          </w:p>
        </w:tc>
      </w:tr>
    </w:tbl>
    <w:p>
      <w:pPr>
        <w:spacing w:before="0" w:after="0"/>
      </w:pPr>
    </w:p>
    <w:p>
      <w:pPr>
        <w:jc w:val="both"/>
        <w:pStyle w:val="Normal"/>
        <w:spacing w:line="240" w:lineRule="auto"/>
      </w:pPr>
      <w:r>
        <w:rPr>
          <w:sz w:val="24"/>
          <w:rFonts w:ascii="Times New Roman" w:hAnsi="Times New Roman"/>
        </w:rPr>
        <w:t>Promijenjen je račun na koji se evidentiraju sredstva za Osnovnu školu Sveti Križ Začretje, koji je prijašnjih godina bio pogrešan. Budući da je škola proračunski korisnik sredstva namijenjena školi evidentirana su na predmetnome računu, te stoga bilježimo i dvostruko veće ostvarenje istih.</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proračunskim korisnicima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281.130,17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390.957,67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139,1</w:t>
            </w:r>
          </w:p>
        </w:tc>
      </w:tr>
    </w:tbl>
    <w:p>
      <w:pPr>
        <w:spacing w:before="0" w:after="0"/>
      </w:pPr>
    </w:p>
    <w:p>
      <w:pPr>
        <w:jc w:val="both"/>
        <w:pStyle w:val="Normal"/>
        <w:spacing w:line="240" w:lineRule="auto"/>
      </w:pPr>
      <w:r>
        <w:rPr>
          <w:sz w:val="24"/>
          <w:rFonts w:ascii="Times New Roman" w:hAnsi="Times New Roman"/>
        </w:rPr>
        <w:t>Obzirom na opći porast cijena režija i troškova za redovito obavljanje djelatnosti, te na povećanje plaća kod proračunskog korisnika Općinska knjižnica i čitaonica, te na povećanje zaposlenih i povećanja plaća kod proračunskog korisnika Dječji vrtić Sveti Križ Začretje bilježimo značajniji rast ostvarenja po predmetnome računu.</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proračunskim korisnicima iz nadležnog proračuna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12.016,25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w:t>
            </w:r>
          </w:p>
        </w:tc>
      </w:tr>
    </w:tbl>
    <w:p>
      <w:pPr>
        <w:spacing w:before="0" w:after="0"/>
      </w:pPr>
    </w:p>
    <w:p>
      <w:pPr>
        <w:jc w:val="both"/>
        <w:pStyle w:val="Normal"/>
        <w:spacing w:line="240" w:lineRule="auto"/>
      </w:pPr>
      <w:r>
        <w:rPr>
          <w:sz w:val="24"/>
          <w:rFonts w:ascii="Times New Roman" w:hAnsi="Times New Roman"/>
        </w:rPr>
        <w:t>Što se tiče sredstava proračunskim korisnicima za nabavu nefinancijske imovine, ona su manja u odnosu na prethodno izvještajno razdoblje budući da proračunski korisnik Općinska knjižnica i čitaonica još nije provela postupak nabave knjižnične građe. </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98.819,37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123.386,18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124,9</w:t>
            </w:r>
          </w:p>
        </w:tc>
      </w:tr>
    </w:tbl>
    <w:p>
      <w:pPr>
        <w:spacing w:before="0" w:after="0"/>
      </w:pPr>
    </w:p>
    <w:p>
      <w:pPr>
        <w:jc w:val="both"/>
        <w:pStyle w:val="Normal"/>
        <w:spacing w:line="240" w:lineRule="auto"/>
      </w:pPr>
      <w:r>
        <w:rPr>
          <w:sz w:val="24"/>
          <w:rFonts w:ascii="Times New Roman" w:hAnsi="Times New Roman"/>
        </w:rPr>
        <w:t>Uslijed povećane potrebe, odnosno povećanog zahtjeva korisnika što u okviru troškova stanovanja, prehrane, što u okviru prijevoza, pomoćnika u nastavi te ostalih naknada u naravi bilježimo povećanje u okviru predmetnog računa. </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 neprofitnim organizacijama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w:t>
            </w:r>
          </w:p>
        </w:tc>
      </w:tr>
    </w:tbl>
    <w:p>
      <w:pPr>
        <w:spacing w:before="0" w:after="0"/>
      </w:pPr>
    </w:p>
    <w:p>
      <w:pPr>
        <w:jc w:val="both"/>
        <w:pStyle w:val="Normal"/>
        <w:spacing w:line="240" w:lineRule="auto"/>
      </w:pPr>
      <w:r>
        <w:rPr>
          <w:sz w:val="24"/>
          <w:rFonts w:ascii="Times New Roman" w:hAnsi="Times New Roman"/>
        </w:rPr>
        <w:t>Kako je ove godine u mjesecu ožujku završena cesija za nabavu interventnog vozila sklopljena s DVD-om Sveti Križ Začretje, tako više nije bilo potrebe za uplatom sredstava kroz daljnji period što dovodi do manjeg ostvarenja po navedenom računu u odnosu na isto razdoblje prethodne godine.</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kreditnim i ostalim financijskim institucijama te trgovačkim društvima u javnom sektoru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919,25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Prošle godine su na predmetnome računu evidentirana sredstva kapitalnih pomoći Zagorskom vodovodu d.o.o. za potrebe provedbe projekta izgradnje vodovodne mreže. Do kraja ovog izvještajnog razdoblja sredstva na predmetnome računu nisu evidentirana. </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750.531,07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474.221,38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63,2</w:t>
            </w:r>
          </w:p>
        </w:tc>
      </w:tr>
    </w:tbl>
    <w:p>
      <w:pPr>
        <w:spacing w:before="0" w:after="0"/>
      </w:pPr>
    </w:p>
    <w:p>
      <w:pPr>
        <w:jc w:val="both"/>
        <w:pStyle w:val="Normal"/>
        <w:spacing w:line="240" w:lineRule="auto"/>
      </w:pPr>
      <w:r>
        <w:rPr>
          <w:sz w:val="24"/>
          <w:rFonts w:ascii="Times New Roman" w:hAnsi="Times New Roman"/>
        </w:rPr>
        <w:t>Manjak prihoda poslovanja najviše je rezultat što ove godine za razliku od prošle ne bilježimo ostvarenje sredstava EU.</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Poslovni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303.896,90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0,7</w:t>
            </w:r>
          </w:p>
        </w:tc>
      </w:tr>
    </w:tbl>
    <w:p>
      <w:pPr>
        <w:spacing w:before="0" w:after="0"/>
      </w:pPr>
    </w:p>
    <w:p>
      <w:pPr>
        <w:jc w:val="both"/>
        <w:pStyle w:val="Normal"/>
        <w:spacing w:line="240" w:lineRule="auto"/>
      </w:pPr>
      <w:r>
        <w:rPr>
          <w:sz w:val="24"/>
          <w:rFonts w:ascii="Times New Roman" w:hAnsi="Times New Roman"/>
        </w:rPr>
        <w:t>U istom razdoblju prethodne godine aktualan je bio projekt dogradnje zgrade Dječjeg vrtića Sveti Križ Začretje, kao poslovnog objekta. Budući da je projekt završen u listopadu prethodne godine, te da značajnih projekata ove godine za sad nema, bilježimo značajno manje ostvarenje sredstava po navedenome računu.</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Ceste, željeznice i ostali prometni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99.371,47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196.971,43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198,2</w:t>
            </w:r>
          </w:p>
        </w:tc>
      </w:tr>
    </w:tbl>
    <w:p>
      <w:pPr>
        <w:spacing w:before="0" w:after="0"/>
      </w:pPr>
    </w:p>
    <w:p>
      <w:pPr>
        <w:jc w:val="both"/>
        <w:pStyle w:val="Normal"/>
        <w:spacing w:line="240" w:lineRule="auto"/>
      </w:pPr>
      <w:r>
        <w:rPr>
          <w:sz w:val="24"/>
          <w:rFonts w:ascii="Times New Roman" w:hAnsi="Times New Roman"/>
        </w:rPr>
        <w:t>Obzirom na dosad najveći projekt asfaltiranja nerazvrstanih cesta na području Općine Sveti Križ Začretje bilježimo i značajno veće ostvarenje po navedenome računu, koje će do kraja godine svakako biti još i značajnije. </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građevinski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39.914,19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82.467,50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206,6</w:t>
            </w:r>
          </w:p>
        </w:tc>
      </w:tr>
    </w:tbl>
    <w:p>
      <w:pPr>
        <w:spacing w:before="0" w:after="0"/>
      </w:pPr>
    </w:p>
    <w:p>
      <w:pPr>
        <w:jc w:val="both"/>
        <w:pStyle w:val="Normal"/>
        <w:spacing w:line="240" w:lineRule="auto"/>
      </w:pPr>
      <w:r>
        <w:rPr>
          <w:sz w:val="24"/>
          <w:rFonts w:ascii="Times New Roman" w:hAnsi="Times New Roman"/>
        </w:rPr>
        <w:t>Obzirom na zadnju fazu zamjene krovišta na gospodarskom objektu starih staja, Banovina, bilježimo značajnije ostvarenje po predmetnom računu u odnosu na isto razdoblje prethodne godine. </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Uređaji, strojevi i oprema za ostale namjene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Za razliku od prošle godine, ove godine ne bilježimo nabavu bilokakvih uređaja, strojeva i sl. za ostale namjene, te stoga ne bilježimo ostvarenje po navedenome računu. </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Ulaganja u računalne programe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Obzirom na sve veću potrebu za novim softverskim rješenjima u okviru Riznice, eNarudžbenica, programa Poreza na promet nekretnina bilježimo značajne troškove za potrebe nabavke spomenutih programskih rješenja što nije bio slučaj prošle godine.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1. siječnja (=stanju obveza iz Izvještaja o obvezama na 31. prosinca prethodne godine)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1.024.152,79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Prikazuje stanje obveza na kraju izvještajnog razdoblja prethodne godine, odnosno na početku ovog izvještajnog razdoblja. Stanje obveza je značajno, no Općina se može pohvaliti da redovito podmiruje sve svoje obveze čak i prije roka dospijeća te navedene obveze također neće biti iznimka od redovitog podmirenja istih,</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Podmirene obveze u izvještajnom razdoblju (šifre V005+P23+P24 + 'P dio 25,26'+P27)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1.419.410,20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Nastavno na gore spomenuto, kod stanja obveza na početku izvještajnog razdoblja, možemo vidjeti da je iznos podmirenih obveza još veći od početnog stanja obveza što upravo potvrđuje činjenicu kako Općina redovno podmiruje svoje nastale obveze. </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937.889,73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Prikazuje stanje obveza na kraju izvještajnog razdoblja koje se sastoje od 16.523,20 € dospjelih obveza, te 921.366,53 € nedospjelih obveza. Omjer istog ponovno ukazuje na redovno podmirenje obveza od strane Općine.</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16.523,20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Prikazuje stanje dospjelih obveza na kraju izvještajnog razdoblja koje nije značajno te je ono u većini slučajeva dogovoreno na zahtjev dobavljača za plaćanjem u više obroka ili s kasnijim rokom od roka dospijeća.
</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921.366,53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Gotovo polovica nedospjelih obveza odnosi se na obveze za redovne rashode poslovanja, kao što su plaća za mjesec svibanj, režijski troškovi, stipendije učenicima i studentima i sl. te podmirenja ostalih računa vezanih uz provedbu redovitog poslovanja Općine, dok se više od polovice odnosi na nedospjele financijske obveze konkretno za povrat dugoročnog kredita korištenog za potrebe provedbe projekta izgradnje Dječjeg vrtića Sveti Križ Začretje.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24be91d59cf44e30" /></Relationships>
</file>