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9dbca216b7684ad7"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37700</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SVETI KRIŽ ZAČRETJE</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22</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1.913.628,84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2.170.710,48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113,4</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1.439.407,46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1.582.966,72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474.221,38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587.743,76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123,9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3.215,77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286.139,47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187.345,69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286.139,47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184.129,92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64,3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27.647,12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27.647,12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PRIMITAKA OD FINANCIJSKE IMOVINE I ZADUŽIVANJA (šifre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27.647,12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27.647,12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100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160.434,79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375.966,72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234,3</w:t>
            </w:r>
          </w:p>
        </w:tc>
      </w:tr>
    </w:tbl>
    <w:p>
      <w:pPr>
        <w:spacing w:before="0" w:after="0"/>
      </w:pPr>
    </w:p>
    <w:p>
      <w:pPr>
        <w:jc w:val="both"/>
      </w:pPr>
      <w:r>
        <w:t xml:space="preserve">Obrazac PR-RAS sadrži sve naplaćene prihode i izvršene rashode od 01.01. do 30.06.2026. godine. Ukupni prihodi Općine Sveti Križ Začretje u navedenom periodu ostvareni su u iznosu od 2.173.926,25 €, a rashodi u iznosu od 1.797.959,53 €. Razlika između prihoda i rashoda donosi višak koji iznosi 375.966,72 €. Zajedno s prenesenim viškom prethodnih godina ukupni višak prihoda raspoloživ u sljedećem razdoblju iznosi 1.869.588,85 €. Usporedimo li stanje na kraju promatranog razdoblja s istim razdobljem prethodne godine zabilježen je veći rast ukupnih prihoda, te neznatno izraženiji porast rashoda koji u konačnici donosi značajni višak prihoda u odnosu na rashode, značajno veći od istog razdoblja prethodne godine. Do kraja godine, sukladno dinamici planiranih projekata, planira se određeno smanjenje ostvarenog viška, dok će se preostali višak prihoda nad rashodima prenijeti u sljedeće proračunsko razdoblje te će biti raspoloživ za realizaciju planiranih kapitalnih projekata. Ostvarenje rashoda može se promatrati u okviru nešto manjeg ulaganja u promatranom razdoblju, no još uvijek veće ostvarenje u odnosu na prethodno izvještajno razdoblje. Prihodi su u porastu u odnosu na isto razdoblju prethodne godine što kroz ostvareni višak omogućuje realizaciju planiranih tekućih i kapitalnih projekata ove godine, ali i narednih proračunskih godina. Važno je također napomenuti kako se ovogodišnje poslovanje Općine, u okviru provođenja određenih kapitalnih projekata, vodi načelom uštede, kako bi se osigurala sredstva za provođenje značajnih i višegodišnjih kapitalnih projekata koji su započeti ove godine, a to je prije svega izgradnja školske-sportske dvorane, te popratnih projekata poput izgradnje pristupne prometnice i sl.</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proračunu i izvanproračunskim korisnicima iz drugih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49.874,58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Do sada u predmetnom izvještajnom razdoblju nisu ostvarena sredstva po osnovi kapitalnih pomoći proračunu iz drugih proračuna što je bio slučaj prethodne godine. Podnesenim prijavama na otvorene javne pozive raznih Ministarstava te dobivenim pozitivnim rezultatima u nastavku godine svakako će na predmetnome računu biti zabilježeno ostvarenje.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koncesije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4.451,25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24,7</w:t>
            </w:r>
          </w:p>
        </w:tc>
      </w:tr>
    </w:tbl>
    <w:p>
      <w:pPr>
        <w:spacing w:before="0" w:after="0"/>
      </w:pPr>
    </w:p>
    <w:p>
      <w:pPr>
        <w:jc w:val="both"/>
      </w:pPr>
      <w:r>
        <w:t xml:space="preserve">Razlika u odnosu na prethodno izvještajno razdoblje očituje se u činjenici da je koncesionar za obavljanje poslova prikupljanja otpada koncesijsku naknadu za period srpanj-prosinac podmirio u prosincu 2025. godine, a ne u tekućoj godini. Shodno navedenome, ostvarenje je znatno manje u odnosu na isto razdoblje prethodne godine.</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Komunalni doprinosi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4.442,58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1.793,66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40,4</w:t>
            </w:r>
          </w:p>
        </w:tc>
      </w:tr>
    </w:tbl>
    <w:p>
      <w:pPr>
        <w:spacing w:before="0" w:after="0"/>
      </w:pPr>
    </w:p>
    <w:p>
      <w:pPr>
        <w:jc w:val="both"/>
      </w:pPr>
      <w:r>
        <w:t xml:space="preserve">Razlika u odnosu na prethodno izvještajno razdoblje odnosi se na novogradnju u industrijskoj zoni što nije bio slučaj u prvoj polovici ove godine, shodno čemu bilježimo manje ostvarenje po osnovi komunalnog doprinosa.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Komunalne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118.547,24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178.633,83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150,7</w:t>
            </w:r>
          </w:p>
        </w:tc>
      </w:tr>
    </w:tbl>
    <w:p>
      <w:pPr>
        <w:spacing w:before="0" w:after="0"/>
      </w:pPr>
    </w:p>
    <w:p>
      <w:pPr>
        <w:jc w:val="both"/>
      </w:pPr>
      <w:r>
        <w:t xml:space="preserve">Bilježimo određeni porast ostvarenja od 50% po osnovi komunalne naknade što proizlazi kao rezultat povećanja boda komunalne naknade, odnosno povećanja  rata komunalne naknade kako za fizičke osobe tako i za poslovne subjekte koji se ne bave proizvodnjom.</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donacije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4.230,01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Prošle godine bilježimo ostvarenje po osnovi tekućih donacija koje se odnosi na tekuće donacije tvrtke Eko-Flor plus d.o.o. za povrat plaćenih naknada za odlagalište otpada. Kako od ove godine sporazum nije potpisan, odnosno nastavljen, po predmetnome računu ne bilježimo ostvarenje.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1.210,57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2.753,32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227,4</w:t>
            </w:r>
          </w:p>
        </w:tc>
      </w:tr>
    </w:tbl>
    <w:p>
      <w:pPr>
        <w:spacing w:before="0" w:after="0"/>
      </w:pPr>
    </w:p>
    <w:p>
      <w:pPr>
        <w:jc w:val="both"/>
      </w:pPr>
      <w:r>
        <w:t xml:space="preserve">Obzirom na premali broj zaposlenih, a sve većih novina i zahtjeva koji se pred zaposlenike stavljaju dolazi do povećane potrebe za prekovremenim radom shodno čemu bilježimo znatno veće ostvarenje po osnovi plaće za prekovremeni rad u odnosu na isto razdoblje prethodne godine.</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943,43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w:t>
            </w:r>
          </w:p>
        </w:tc>
      </w:tr>
    </w:tbl>
    <w:p>
      <w:pPr>
        <w:spacing w:before="0" w:after="0"/>
      </w:pPr>
    </w:p>
    <w:p>
      <w:pPr>
        <w:jc w:val="both"/>
      </w:pPr>
      <w:r>
        <w:t xml:space="preserve">Znatno manje ostvarenje u odnosu na isto razdoblje prethodne godine očituje se u manjem broju službenih putovanja općinskog načelnika u tekućoj godini.</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4.037,39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12.953,94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320,8</w:t>
            </w:r>
          </w:p>
        </w:tc>
      </w:tr>
    </w:tbl>
    <w:p>
      <w:pPr>
        <w:spacing w:before="0" w:after="0"/>
      </w:pPr>
    </w:p>
    <w:p>
      <w:pPr>
        <w:jc w:val="both"/>
      </w:pPr>
      <w:r>
        <w:t xml:space="preserve">Znatno povećanje gotovo u potpunosti se odnosi na investiciju od 8.211,00 eura projekta nabave prometnih znakova i signalizacije za prometno označavanje opasne prometnice u zoni malog gospodarstva.</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7.316,13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11.709,48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160,1</w:t>
            </w:r>
          </w:p>
        </w:tc>
      </w:tr>
    </w:tbl>
    <w:p>
      <w:pPr>
        <w:spacing w:before="0" w:after="0"/>
      </w:pPr>
    </w:p>
    <w:p>
      <w:pPr>
        <w:jc w:val="both"/>
      </w:pPr>
      <w:r>
        <w:t xml:space="preserve">Povećanje ostvarenja po predmetnome računu, u odnosu na isto izvještajno razdoblje prethodne godine, odnosi se na troškove poštarine gdje je uslijed promjene boda komunalne naknade bilo potrebno izdati i poslati potpuno nova rješenja obveznicim komunalne naknade što u konačnici donosi i znatno veće troškove poštarine.</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55.104,80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82.640,63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150,0</w:t>
            </w:r>
          </w:p>
        </w:tc>
      </w:tr>
    </w:tbl>
    <w:p>
      <w:pPr>
        <w:spacing w:before="0" w:after="0"/>
      </w:pPr>
    </w:p>
    <w:p>
      <w:pPr>
        <w:jc w:val="both"/>
      </w:pPr>
      <w:r>
        <w:t xml:space="preserve">Veće ostvarenje u odnosu na isto razdoblje prethodne godine, očituje se u ažurnijem dostavljanju računa za obavljenu uslugu dopreme i ugradnje kamenog materijala od strane dobavljača, te dodatnom računu za poslove održavanja javne rasvjete.</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17.101,96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24.083,46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140,8</w:t>
            </w:r>
          </w:p>
        </w:tc>
      </w:tr>
    </w:tbl>
    <w:p>
      <w:pPr>
        <w:spacing w:before="0" w:after="0"/>
      </w:pPr>
    </w:p>
    <w:p>
      <w:pPr>
        <w:jc w:val="both"/>
      </w:pPr>
      <w:r>
        <w:t xml:space="preserve">Povećanje ostvarenja po osnovi usluga promidžbe i informiranja u odnosu na isto razdoblje prethodne godine odnosi se najviše na raspisivanje javnih natječaja za zaposlenje, ali i povećanja cijena pružatelja usluga promidžbe i informiranja.</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8.109,68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25.677,78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316,6</w:t>
            </w:r>
          </w:p>
        </w:tc>
      </w:tr>
    </w:tbl>
    <w:p>
      <w:pPr>
        <w:spacing w:before="0" w:after="0"/>
      </w:pPr>
    </w:p>
    <w:p>
      <w:pPr>
        <w:jc w:val="both"/>
      </w:pPr>
      <w:r>
        <w:t xml:space="preserve">Povećanje ostvarenja po osnovi intelektualnih i osobnih usluga odnosi se na ranije dostavljeni račun dobavljača koji obavlja geodetske usluge, odnosno evidentiranje nerazvrstanih cesta, ali i računa za konzulantske usluge u postupku provođenja javne nabave za pojedine projekte, ali i samu provedbu kapitalnih projekata.</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1.276,00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2.487,88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195,0</w:t>
            </w:r>
          </w:p>
        </w:tc>
      </w:tr>
    </w:tbl>
    <w:p>
      <w:pPr>
        <w:spacing w:before="0" w:after="0"/>
      </w:pPr>
    </w:p>
    <w:p>
      <w:pPr>
        <w:jc w:val="both"/>
      </w:pPr>
      <w:r>
        <w:t xml:space="preserve">Veći broj sjednica općinskog vijeća dovodi do gotovo dvostruko većeg ostvarenja po predmetnome računu u odnosu na isto razdoblje prethodne godine.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63,72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10.359,31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&gt;&gt;100</w:t>
            </w:r>
          </w:p>
        </w:tc>
      </w:tr>
    </w:tbl>
    <w:p>
      <w:pPr>
        <w:spacing w:before="0" w:after="0"/>
      </w:pPr>
    </w:p>
    <w:p>
      <w:pPr>
        <w:jc w:val="both"/>
      </w:pPr>
      <w:r>
        <w:t xml:space="preserve">Znatno povećanje ostvarenja u odnosu na isto razdoblje prethodne godine očituje se u dostavljenim računima za naknade za uređenje voda uz nerazvrstane ceste u vlasništvu Općine za period od 2020. do 2025. godine od strane Hrvatskih voda koji ukupno iznose gotovo 10.000,00 eura.</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81.584,78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26.718,11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32,7</w:t>
            </w:r>
          </w:p>
        </w:tc>
      </w:tr>
    </w:tbl>
    <w:p>
      <w:pPr>
        <w:spacing w:before="0" w:after="0"/>
      </w:pPr>
    </w:p>
    <w:p>
      <w:pPr>
        <w:jc w:val="both"/>
      </w:pPr>
      <w:r>
        <w:t xml:space="preserve">Ove godine bilježimo znatno manje ostvarenje po predmetnome računu u odnosu na prethodnu godinu budući da su se prošle godine provodili lokalni izbori.</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donacije neprofitnim organizacijama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8.250,00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275,0</w:t>
            </w:r>
          </w:p>
        </w:tc>
      </w:tr>
    </w:tbl>
    <w:p>
      <w:pPr>
        <w:spacing w:before="0" w:after="0"/>
      </w:pPr>
    </w:p>
    <w:p>
      <w:pPr>
        <w:jc w:val="both"/>
      </w:pPr>
      <w:r>
        <w:t xml:space="preserve">Uslijed provođenja kapitalnog projekta energetske obnove Vatrogasnog doma DVD Brezova, gdje se financijska sredstva sukladno dostavljenim privremenim situacijama dostavljaju na račun DVD-a Brezova, bilježimo određeno povećanje ostvarenja po predmetnome računu.</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Kapitalne pomoći kreditnim i ostalim financijskim institucijama te trgovačkim društvima u javnom sektoru</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933,88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Za razliku od prošle godine u ovoj bilježimo ostvarenje predmetnih kapitalnih pomoći u okviru kapitalnih pomoći tvrtki Zagorski vodovod d.o.o. za projekt izgradnje vodovodne mreže.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Zemljište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7111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3.215,77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Uslijed prodaje poljoprivrednog zemljišta bilježimo ostvarenje po predmetnome računu što nije bio slučaj u prvoj polovici prethodne godine.</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Ceste, željeznice i ostali prometni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196.971,43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4.375,00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w:t>
            </w:r>
          </w:p>
        </w:tc>
      </w:tr>
    </w:tbl>
    <w:p>
      <w:pPr>
        <w:spacing w:before="0" w:after="0"/>
      </w:pPr>
    </w:p>
    <w:p>
      <w:pPr>
        <w:jc w:val="both"/>
      </w:pPr>
      <w:r>
        <w:t xml:space="preserve">Znatno manje ostvarenje u odnosu na isto razdoblje prethodne godine očituje se u različitom knjigovodstvenom evidentiranju određenih poslovnih promjena. Prije svega projekta asfaltiranja nerazvrstanih cesta, gdje se trošak evidentira na računima razreda 451 odnosno dodatnog ulaganja na građevinskim objektima.</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građevinski objekti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82.467,50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32.252,11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39,1</w:t>
            </w:r>
          </w:p>
        </w:tc>
      </w:tr>
    </w:tbl>
    <w:p>
      <w:pPr>
        <w:spacing w:before="0" w:after="0"/>
      </w:pPr>
    </w:p>
    <w:p>
      <w:pPr>
        <w:jc w:val="both"/>
      </w:pPr>
      <w:r>
        <w:t xml:space="preserve">Uslije manjeg investicijskog ciklusa u ostale građevinske objekte te novog načina knjigovodstveno evidentiranja ulaganja u postojeće građevinske objekte bilježimo znatno manje ostvarenje u odnosu na isto razdoblje prethodne godine.</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Ulaganja u računalne programe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4262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pPr>
        <w:jc w:val="both"/>
      </w:pPr>
      <w:r>
        <w:t xml:space="preserve">Prošle godine uložena su velika sredstva u nabavu računalnih programa, prvenstveno za potrebe rizničkog poslovanja, ali i ostalih te popratnih programa. Shodno navedenome, ove godine do sada nije bilo potrebe za ulaganjem u računalne programe.</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Dodatna ulaganja na građevinskim objektima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451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148.297,43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Zbog već gore spomenutog novog načina knjigovodstvenog evidentiranja projekata poput asfaltiranja nerazvrstanih cesta te porjekta energetske obnove zgrade Društvenog doma u naselju Ciglenica Zagorska na predmetnome računu, ove godine bilježimo značajno ostvarenje dok naravno prethodne godine ostvarenje po predmetnome računu nije zabilježeno.</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VIŠAK PRIHODA I PRIMITAKA (šifre X678-Y345)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160.434,79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375.966,72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234,3</w:t>
            </w:r>
          </w:p>
        </w:tc>
      </w:tr>
    </w:tbl>
    <w:p>
      <w:pPr>
        <w:spacing w:before="0" w:after="0"/>
      </w:pPr>
    </w:p>
    <w:p>
      <w:pPr>
        <w:jc w:val="both"/>
      </w:pPr>
      <w:r>
        <w:t xml:space="preserve">Već smo spomenuli u uvodnoj bilješci kako je ostvaren značajniji višak prihoda nad rashodima u odnosu na prethodno izvještajno razdoblje. Isto je rezultat opreznijeg ulaganja sa ciljem da se osigura što veći iznos sredstava za provedbu započetog kapitalnog projekta izgradnje školske-sportske dvorane s proširenjem škole u svrhu održavanja jednosmjenske nastave, gdje će glavni trošak Općine biti upravo sljedeće godine. Dakako, provođenjem planiranih projekata nije isključivo da će se ostvareni višak do kraja godine u određenom omjeru i smanjiti.</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Prosječan broj zaposlenih u tijelima na osnovi stanja na početku i na kraju izvještajnog razdoblja (cijeli broj)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111,1</w:t>
            </w:r>
          </w:p>
        </w:tc>
      </w:tr>
    </w:tbl>
    <w:p>
      <w:pPr>
        <w:spacing w:before="0" w:after="0"/>
      </w:pPr>
    </w:p>
    <w:p>
      <w:r>
        <w:t xml:space="preserve">Od 1. siječnja ove godine na određeno radno vrijeme je zaposlena osoba na zamjenu za službenika, odnosno tajnicu.</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1. siječnja (=stanju obveza iz Izvještaja o obvezama na 31. prosinca prethodne godine)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882.443,46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Prikazuje stanje obveza na kraju izvještajnog razdoblja prethodne godine, odnosno na početku ovog izvještajnog razdoblja. Općina se može pohvaliti da redovito podmiruje sve svoje obveze čak i prije roka dospijeća. U nastavku izvještaja se može vidjeti daljnje stanje obveza kako novonastalih, podmirenih te onih dospjelih i nedospjelih. Iz izvještaja se jasno da zaključiti kako Općina redovito podmiruje svoje dospjele obveze.</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Podmirene obveze u izvještajnom razdoblju (šifre V005+P23+P24 + 'P dio 25,26'+P27)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1.479.942,74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Prikazuje iznos podmirenih obveza iz kojeg je također vidljivo kako Općina redovito podmiruje svoje novonastale obveze, odnosno nedospjele obveze.</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obveza na kraju izvještajnog razdoblja (šifre V001+V002-V004) i (šifre V007+V009)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828.247,95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Prikazuje stanje obveza na kraju izvještajnog razdoblja koje se sastoje od 55.651,66 € dospjelih obveza, te 772.596,29 € nedospjelih obveza. Omjer istog ponovno ukazuje na redovno podmirenje obveza od strane Općine gdje se znatno veći dio odnosi upravo na one obveze koje su još uvijek u samom roku dospijeća.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55.651,66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Stanje dospjelih obveza na kraju promatranog razdoblja iznosi 55.651,66 €. Stanje dospjelih obveza odnosi se na račune gdje je s dobavljačima dogovorena dinamika plaćanja, na zahtjev samih dobavljača. Veliki dio dospjelih obveza odnosi se na račune dobavljača za održavanje javne rasvjete koji je ispostavio račune za izvedene radove krajem lipnja s kratkim rokom dospijeća, te su isti podmireni već u mjesecu srpnju. Unatoč svemu navedenome, Općina Sveti Križ Začretje redovito podmiruje sve svoje obveze, često i prije samog roka dospijeća. </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nedospjelih obveza na kraju izvještajnog razdoblja (šifre V010 + ND23 + ND24 + 'ND dio 25,26' + ND27)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772.596,29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Pr>
      <w:r>
        <w:t xml:space="preserve">Najveći dio nedospjelih obveza odnosi se na nedospjele financijske obveze za povrat dugoročnog kredita korištenog za potrebe provedbe projekta izgradnje Dječjeg vrtića Sveti Križ Začretje dok se preostali dio nedospjelih obveza odnosi na obveze za redovne rashode poslovanja, kao što su plaća za mjesec ožujak, režijske troškove, naknadu predsjednici općinskog vijeća te članovima općinskog vijeća, te ostalih nedospjelih računa i obveza vezanih uz provedbu redovitog poslovanja Općine.</w:t>
      </w:r>
    </w:p>
    <w:p/>
    <w:p>
      <w:pPr>
        <w:jc w:val="center"/>
        <w:pStyle w:val="Normal"/>
        <w:spacing w:line="240" w:lineRule="auto"/>
        <w:keepNext/>
      </w:pPr>
      <w:r>
        <w:rPr>
          <w:sz w:val="28"/>
          <w:rFonts w:ascii="Times New Roman" w:hAnsi="Times New Roman"/>
        </w:rPr>
        <w:t xml:space="preserve">Bilješka 31.</w:t>
      </w:r>
    </w:p>
    <w:p>
      <w:pPr>
        <w:jc w:val="both"/>
        <w:pStyle w:val="Normal"/>
        <w:spacing w:line="240" w:lineRule="auto"/>
      </w:pPr>
      <w:r>
        <w:rPr>
          <w:b/>
          <w:sz w:val="24"/>
          <w:rFonts w:ascii="Times New Roman" w:hAnsi="Times New Roman"/>
        </w:rPr>
        <w:t xml:space="preserve">EU izvještaj</w:t>
      </w:r>
    </w:p>
    <w:p>
      <w:pPr>
        <w:jc w:val="both"/>
      </w:pPr>
      <w:r>
        <w:t xml:space="preserve">EU izvještaj po izvorima financiranja novost je od financijskog izvještavanja za period od 01.01. do 31.12.2025. godine te se obveza popunjavanja istog primjenjuje i na predmetno izvještajno razdoblje. Predmetni izvještaj pokazuje sredstva ostvarena prethodne godine po izvoru financiranja 565 - Europski poljoprivredni fond za ruralni razvoj. Ostvarenje po navedenom izvoru iznosi 49.874,58 € te se odnosi na projekt izgradnje dječjeg igrališta u naselju Sekirišće. Projekt je završen krajem 2024. godine stoga nema evidentiran iznos troškova provedbe projekta. Promet obračunatih prihoda poslovanja evidentiran je u istome iznosu sukladno evidentiranju po novom Pravilniku o proračunskom računovodstvu.  </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2eea9d6009274720" /></Relationships>
</file>